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0"/>
      </w:pPr>
      <w:r>
        <w:rPr>
          <w:color w:val="595959"/>
          <w:sz w:val="22"/>
        </w:rPr>
        <w:t>EDLY</w:t>
      </w:r>
    </w:p>
    <w:p>
      <w:r>
        <w:rPr>
          <w:b/>
          <w:color w:val="1F2A44"/>
          <w:sz w:val="48"/>
        </w:rPr>
        <w:t>Pulni qaytarish va bekor qilish siyosati</w:t>
      </w:r>
    </w:p>
    <w:p>
      <w:r>
        <w:rPr>
          <w:color w:val="595959"/>
          <w:sz w:val="24"/>
        </w:rPr>
        <w:t>Edly pulni qachon va qanday qaytaradi</w:t>
      </w:r>
    </w:p>
    <w:p>
      <w:r>
        <w:rPr>
          <w:color w:val="595959"/>
          <w:sz w:val="18"/>
        </w:rPr>
        <w:t>Versiya 1.0  ·  Kuchga kirgan sana: 2026-yil 26-oktabr ·  Auditoriya: Oʻquvchilar va ota-onalar (ommaviy)</w:t>
      </w:r>
    </w:p>
    <w:p>
      <w:pPr>
        <w:spacing w:before="160"/>
      </w:pPr>
      <w:r>
        <w:rPr>
          <w:b/>
          <w:color w:val="595959"/>
          <w:sz w:val="18"/>
        </w:rPr>
        <w:t>Holati: 1.0-versiya, 2026-yil 26-oktabrdan kuchga kirgan. Oʻzbek tilidagi matn tarjimalardan ustun turadi.</w:t>
      </w:r>
      <w:r>
        <w:rPr>
          <w:color w:val="595959"/>
          <w:sz w:val="18"/>
        </w:rPr>
      </w:r>
    </w:p>
    <w:p>
      <w:r>
        <w:br w:type="page"/>
      </w:r>
    </w:p>
    <w:p>
      <w:pPr>
        <w:pStyle w:val="Heading1"/>
      </w:pPr>
      <w:r>
        <w:t>Pulni qaytarish va bekor qilish siyosati</w:t>
      </w:r>
    </w:p>
    <w:p>
      <w:r>
        <w:t xml:space="preserve">Ushbu siyosat Ommaviy ofertaning bir qismi. U pullik Kurslar va toʻplamlarga qoʻllanadi. U Oʻzbekiston qonunchiligiga koʻra voz kechib boʻlmaydigan isteʼmolchi huquqlarini </w:t>
      </w:r>
      <w:r>
        <w:rPr>
          <w:b/>
        </w:rPr>
        <w:t>cheklamaydi</w:t>
      </w:r>
      <w:r>
        <w:t>.</w:t>
      </w:r>
    </w:p>
    <w:p>
      <w:pPr>
        <w:pStyle w:val="Heading2"/>
      </w:pPr>
      <w:r>
        <w:t>1. Qisqacha</w:t>
      </w:r>
    </w:p>
    <w:tbl>
      <w:tblPr>
        <w:tblStyle w:val="TableGrid"/>
        <w:tblW w:type="auto" w:w="0"/>
        <w:tblLook w:firstColumn="1" w:firstRow="1" w:lastColumn="0" w:lastRow="0" w:noHBand="0" w:noVBand="1" w:val="04A0"/>
      </w:tblPr>
      <w:tblGrid>
        <w:gridCol w:w="4819"/>
        <w:gridCol w:w="4819"/>
      </w:tblGrid>
      <w:tr>
        <w:tc>
          <w:tcPr>
            <w:tcW w:type="dxa" w:w="4819"/>
            <w:shd w:val="clear" w:color="auto" w:fill="1F2A44"/>
          </w:tcPr>
          <w:p>
            <w:pPr>
              <w:spacing w:after="20"/>
            </w:pPr>
            <w:r>
              <w:rPr>
                <w:b/>
                <w:color w:val="FFFFFF"/>
              </w:rPr>
            </w:r>
            <w:r>
              <w:rPr>
                <w:b/>
                <w:color w:val="FFFFFF"/>
                <w:sz w:val="19"/>
              </w:rPr>
              <w:t>Holat</w:t>
            </w:r>
          </w:p>
        </w:tc>
        <w:tc>
          <w:tcPr>
            <w:tcW w:type="dxa" w:w="4819"/>
            <w:shd w:val="clear" w:color="auto" w:fill="1F2A44"/>
          </w:tcPr>
          <w:p>
            <w:pPr>
              <w:spacing w:after="20"/>
            </w:pPr>
            <w:r>
              <w:rPr>
                <w:b/>
                <w:color w:val="FFFFFF"/>
              </w:rPr>
            </w:r>
            <w:r>
              <w:rPr>
                <w:b/>
                <w:color w:val="FFFFFF"/>
                <w:sz w:val="19"/>
              </w:rPr>
              <w:t>Nima olasiz</w:t>
            </w:r>
          </w:p>
        </w:tc>
      </w:tr>
      <w:tr>
        <w:tc>
          <w:tcPr>
            <w:tcW w:type="dxa" w:w="4819"/>
          </w:tcPr>
          <w:p>
            <w:pPr>
              <w:spacing w:after="20"/>
            </w:pPr>
            <w:r/>
            <w:r>
              <w:rPr>
                <w:sz w:val="19"/>
              </w:rPr>
              <w:t>Toʻlovdan keyin 7 kalendar kun ichida fikringizdan qaytsangiz va Kursning 20% idan koʻpini tugatmagan boʻlsangiz</w:t>
            </w:r>
          </w:p>
        </w:tc>
        <w:tc>
          <w:tcPr>
            <w:tcW w:type="dxa" w:w="4819"/>
          </w:tcPr>
          <w:p>
            <w:pPr>
              <w:spacing w:after="20"/>
            </w:pPr>
            <w:r/>
            <w:r>
              <w:rPr>
                <w:sz w:val="19"/>
              </w:rPr>
              <w:t>Haqiqatda toʻlangan summaning toʻliq qaytarilishi</w:t>
            </w:r>
          </w:p>
        </w:tc>
      </w:tr>
      <w:tr>
        <w:tc>
          <w:tcPr>
            <w:tcW w:type="dxa" w:w="4819"/>
          </w:tcPr>
          <w:p>
            <w:pPr>
              <w:spacing w:after="20"/>
            </w:pPr>
            <w:r/>
            <w:r>
              <w:rPr>
                <w:sz w:val="19"/>
              </w:rPr>
              <w:t>7 kundan keyin yoki 20% dan koʻp tugatilgandan keyin fikringizdan qaytsangiz</w:t>
            </w:r>
          </w:p>
        </w:tc>
        <w:tc>
          <w:tcPr>
            <w:tcW w:type="dxa" w:w="4819"/>
          </w:tcPr>
          <w:p>
            <w:pPr>
              <w:spacing w:after="20"/>
            </w:pPr>
            <w:r/>
            <w:r>
              <w:rPr>
                <w:sz w:val="19"/>
              </w:rPr>
              <w:t>3-band qoʻllanmasa, Narx qaytarilmaydi. Oʻz ixtiyorimiz bilan boshqa Kurs uchun kredit taklif qilishimiz mumkin</w:t>
            </w:r>
          </w:p>
        </w:tc>
      </w:tr>
      <w:tr>
        <w:tc>
          <w:tcPr>
            <w:tcW w:type="dxa" w:w="4819"/>
          </w:tcPr>
          <w:p>
            <w:pPr>
              <w:spacing w:after="20"/>
            </w:pPr>
            <w:r/>
            <w:r>
              <w:rPr>
                <w:sz w:val="19"/>
              </w:rPr>
              <w:t>Kurs taqdim etilmagan, bizning tomondagi sabablarga koʻra unga kira olmasangiz yoki u tavsifdan jiddiy farq qilsa</w:t>
            </w:r>
          </w:p>
        </w:tc>
        <w:tc>
          <w:tcPr>
            <w:tcW w:type="dxa" w:w="4819"/>
          </w:tcPr>
          <w:p>
            <w:pPr>
              <w:spacing w:after="20"/>
            </w:pPr>
            <w:r/>
            <w:r>
              <w:rPr>
                <w:sz w:val="19"/>
              </w:rPr>
              <w:t>5 ish kuni ichida muammoni bartaraf etamiz, aks holda toʻliq yoki proporsional qaytaramiz</w:t>
            </w:r>
          </w:p>
        </w:tc>
      </w:tr>
      <w:tr>
        <w:tc>
          <w:tcPr>
            <w:tcW w:type="dxa" w:w="4819"/>
          </w:tcPr>
          <w:p>
            <w:pPr>
              <w:spacing w:after="20"/>
            </w:pPr>
            <w:r/>
            <w:r>
              <w:rPr>
                <w:sz w:val="19"/>
              </w:rPr>
              <w:t>Biz Kursni olib tashlasak yoki Platformani yopsak</w:t>
            </w:r>
          </w:p>
        </w:tc>
        <w:tc>
          <w:tcPr>
            <w:tcW w:type="dxa" w:w="4819"/>
          </w:tcPr>
          <w:p>
            <w:pPr>
              <w:spacing w:after="20"/>
            </w:pPr>
            <w:r/>
            <w:r>
              <w:rPr>
                <w:sz w:val="19"/>
              </w:rPr>
              <w:t>Narxning foydalanilmagan qismi qaytariladi (Ommaviy oferta 7.3-band)</w:t>
            </w:r>
          </w:p>
        </w:tc>
      </w:tr>
      <w:tr>
        <w:tc>
          <w:tcPr>
            <w:tcW w:type="dxa" w:w="4819"/>
          </w:tcPr>
          <w:p>
            <w:pPr>
              <w:spacing w:after="20"/>
            </w:pPr>
            <w:r/>
            <w:r>
              <w:rPr>
                <w:sz w:val="19"/>
              </w:rPr>
              <w:t>Takroriy yoki xato toʻlov</w:t>
            </w:r>
          </w:p>
        </w:tc>
        <w:tc>
          <w:tcPr>
            <w:tcW w:type="dxa" w:w="4819"/>
          </w:tcPr>
          <w:p>
            <w:pPr>
              <w:spacing w:after="20"/>
            </w:pPr>
            <w:r/>
            <w:r>
              <w:rPr>
                <w:sz w:val="19"/>
              </w:rPr>
              <w:t>Takroriy toʻlovning toʻliq qaytarilishi</w:t>
            </w:r>
          </w:p>
        </w:tc>
      </w:tr>
      <w:tr>
        <w:tc>
          <w:tcPr>
            <w:tcW w:type="dxa" w:w="4819"/>
          </w:tcPr>
          <w:p>
            <w:pPr>
              <w:spacing w:after="20"/>
            </w:pPr>
            <w:r/>
            <w:r>
              <w:rPr>
                <w:sz w:val="19"/>
              </w:rPr>
              <w:t>Toʻlov vakolatsiz shaxs tomonidan qilingan (firibgarlik, oʻgʻirlangan karta)</w:t>
            </w:r>
          </w:p>
        </w:tc>
        <w:tc>
          <w:tcPr>
            <w:tcW w:type="dxa" w:w="4819"/>
          </w:tcPr>
          <w:p>
            <w:pPr>
              <w:spacing w:after="20"/>
            </w:pPr>
            <w:r/>
            <w:r>
              <w:rPr>
                <w:sz w:val="19"/>
              </w:rPr>
              <w:t>Tekshiruvdan keyin toʻliq qaytarish</w:t>
            </w:r>
          </w:p>
        </w:tc>
      </w:tr>
      <w:tr>
        <w:tc>
          <w:tcPr>
            <w:tcW w:type="dxa" w:w="4819"/>
          </w:tcPr>
          <w:p>
            <w:pPr>
              <w:spacing w:after="20"/>
            </w:pPr>
            <w:r/>
            <w:r>
              <w:rPr>
                <w:sz w:val="19"/>
              </w:rPr>
              <w:t>Voyaga yetmagan shaxsning xaridi Ota-onasiz amalga oshirilgan</w:t>
            </w:r>
          </w:p>
        </w:tc>
        <w:tc>
          <w:tcPr>
            <w:tcW w:type="dxa" w:w="4819"/>
          </w:tcPr>
          <w:p>
            <w:pPr>
              <w:spacing w:after="20"/>
            </w:pPr>
            <w:r/>
            <w:r>
              <w:rPr>
                <w:sz w:val="19"/>
              </w:rPr>
              <w:t>Bekor qilinadi va qaytariladi</w:t>
            </w:r>
          </w:p>
        </w:tc>
      </w:tr>
      <w:tr>
        <w:tc>
          <w:tcPr>
            <w:tcW w:type="dxa" w:w="4819"/>
          </w:tcPr>
          <w:p>
            <w:pPr>
              <w:spacing w:after="20"/>
            </w:pPr>
            <w:r/>
            <w:r>
              <w:rPr>
                <w:sz w:val="19"/>
              </w:rPr>
              <w:t>Hisobingiz jiddiy buzilish sababli bizning tomondan yopilsa</w:t>
            </w:r>
          </w:p>
        </w:tc>
        <w:tc>
          <w:tcPr>
            <w:tcW w:type="dxa" w:w="4819"/>
          </w:tcPr>
          <w:p>
            <w:pPr>
              <w:spacing w:after="20"/>
            </w:pPr>
            <w:r/>
            <w:r>
              <w:rPr>
                <w:sz w:val="19"/>
              </w:rPr>
              <w:t>Buzilishdan keyingi davr uchun qaytarilmaydi</w:t>
            </w:r>
          </w:p>
        </w:tc>
      </w:tr>
    </w:tbl>
    <w:p>
      <w:pPr>
        <w:spacing w:after="40"/>
      </w:pPr>
    </w:p>
    <w:p>
      <w:pPr>
        <w:pStyle w:val="Heading2"/>
      </w:pPr>
      <w:r>
        <w:t>2. Qanday soʻraladi</w:t>
      </w:r>
    </w:p>
    <w:p>
      <w:pPr>
        <w:ind w:left="624" w:hanging="624"/>
        <w:jc w:val="both"/>
      </w:pPr>
      <w:r>
        <w:rPr>
          <w:b/>
        </w:rPr>
        <w:t>2.1</w:t>
        <w:tab/>
      </w:r>
      <w:r>
        <w:t>info@edly.uz ga yozing yoki ilova ichidagi soʻrovdan foydalaning: ismingiz, toʻlov raqami va sababni koʻrsating. Voyaga yetmagan shaxs uchun Ota-ona soʻrashi kerak.</w:t>
      </w:r>
    </w:p>
    <w:p>
      <w:pPr>
        <w:ind w:left="624" w:hanging="624"/>
        <w:jc w:val="both"/>
      </w:pPr>
      <w:r>
        <w:rPr>
          <w:b/>
        </w:rPr>
        <w:t>2.2</w:t>
        <w:tab/>
      </w:r>
      <w:r>
        <w:t>Qabul qilinganini 2 ish kuni ichida tasdiqlaymiz va 5 ish kuni ichida qaror qabul qilamiz. Maʼlumot (masalan, toʻlov isboti) soʻrashimiz mumkin.</w:t>
      </w:r>
    </w:p>
    <w:p>
      <w:pPr>
        <w:pStyle w:val="Heading2"/>
      </w:pPr>
      <w:r>
        <w:t>3. Nuqsonli yoki notoʻgʻri tavsiflangan Kurslar</w:t>
      </w:r>
    </w:p>
    <w:p>
      <w:r>
        <w:t>Kurs taqdim etilmagan, asosiy qismlari yoʻq yoki foydalanib boʻlmaydigan, darslar uning eʼlon qilingan maqsadini yoʻqqa chiqaradigan darajada jiddiy notoʻgʻri yoki eʼlon qilingan imkoniyatlar (jonli mashgʻulotlar, tahlillar, sertifikat) taqdim etilmagan boʻlsa, nuqsonli hisoblanadi. Bunday holda tuzatish, almashtirish yoki proporsional qaytarishni talab qilishingiz mumkin. Kursda oʻrgatiladigan uchinchi tomon vositalaridagi oʻzgarishlar oʻz-oʻzidan Kursni nuqsonli qilmaydi, ammo Kursni oqilona muddatda yangilaymiz.</w:t>
      </w:r>
    </w:p>
    <w:p>
      <w:pPr>
        <w:pStyle w:val="Heading2"/>
      </w:pPr>
      <w:r>
        <w:t>4. Pul qanday qaytariladi</w:t>
      </w:r>
    </w:p>
    <w:p>
      <w:pPr>
        <w:ind w:left="624" w:hanging="624"/>
        <w:jc w:val="both"/>
      </w:pPr>
      <w:r>
        <w:rPr>
          <w:b/>
        </w:rPr>
        <w:t>4.1</w:t>
        <w:tab/>
      </w:r>
      <w:r>
        <w:t>Toʻlov provayderi orqali, tasdiqlangandan keyin 10 ish kuni ichida asl toʻlov usuliga. Mablagʻlarning hisobingizda paydo boʻlish vaqti bankka bogʻliq.</w:t>
      </w:r>
    </w:p>
    <w:p>
      <w:pPr>
        <w:ind w:left="624" w:hanging="624"/>
        <w:jc w:val="both"/>
      </w:pPr>
      <w:r>
        <w:rPr>
          <w:b/>
        </w:rPr>
        <w:t>4.2</w:t>
        <w:tab/>
      </w:r>
      <w:r>
        <w:t>Qaytariladigan summa — haqiqatda toʻlagan summa. Chegirmalar naqd pulda qaytarilmaydi. Toʻlov provayderi qaytarmaydigan komissiyalar qaytarishdan ushlab qolinmaydi.</w:t>
      </w:r>
    </w:p>
    <w:p>
      <w:pPr>
        <w:ind w:left="624" w:hanging="624"/>
        <w:jc w:val="both"/>
      </w:pPr>
      <w:r>
        <w:rPr>
          <w:b/>
        </w:rPr>
        <w:t>4.3</w:t>
        <w:tab/>
      </w:r>
      <w:r>
        <w:t>Qonun talab qilmasa va tasdiqlanmasa, naqd pulda yoki boshqa shaxs hisobiga qaytarish amalga oshirilmaydi.</w:t>
      </w:r>
    </w:p>
    <w:p>
      <w:pPr>
        <w:pStyle w:val="Heading2"/>
      </w:pPr>
      <w:r>
        <w:t>5. Qaytarishning oqibatlari</w:t>
      </w:r>
    </w:p>
    <w:p>
      <w:r>
        <w:t>Kirish huquqi darhol tugaydi; shu Kurs boʻyicha Sertifikat bekor qilinadi; xaridga bogʻliq tavsiya mukofotlari va elchi komissiyalari bekor qilinadi; Mentorning shu sotuv uchun royaltisi litsenziya shartnomasiga muvofiq qaytariladi.</w:t>
      </w:r>
    </w:p>
    <w:p>
      <w:pPr>
        <w:pStyle w:val="Heading2"/>
      </w:pPr>
      <w:r>
        <w:t>6. Chargeback va nizolar</w:t>
      </w:r>
    </w:p>
    <w:p>
      <w:r>
        <w:t>Biz bilan bogʻlanishdan oldin bankingiz orqali toʻlovga eʼtiroz bildirsangiz, Toʻlov provayderi mablagʻlarni muzlatishi va nizo hal boʻlguncha Kirishni toʻxtatib turishimiz mumkin. Iltimos, avval biz bilan bogʻlaning; koʻpchilik holatlarni 5 ish kuni ichida hal qilamiz.</w:t>
      </w:r>
    </w:p>
    <w:p>
      <w:pPr>
        <w:pStyle w:val="Heading2"/>
      </w:pPr>
      <w:r>
        <w:t>7. Boʻlib toʻlash</w:t>
      </w:r>
    </w:p>
    <w:p>
      <w:r>
        <w:t>Bank yoki Toʻlov provayderi orqali boʻlib toʻlagan boʻlsangiz, qaytarish ular orqali amalga oshiriladi va ularning oʻz jadvaliga amal qilishi mumkin.</w:t>
      </w:r>
    </w:p>
    <w:p>
      <w:pPr>
        <w:pStyle w:val="Heading2"/>
      </w:pPr>
      <w:r>
        <w:t>8. Aloqa va yuqori instansiyaga murojaat</w:t>
      </w:r>
    </w:p>
    <w:p>
      <w:r>
        <w:t>Qarorimizga rozi boʻlmasangiz, Shikoyatlarni koʻrib chiqish tartibidan foydalanishingiz, soʻng isteʼmolchilar huquqlarini himoya qilish organiga yoki sudga murojaat qilishingiz mumkin.</w:t>
      </w:r>
    </w:p>
    <w:sectPr w:rsidR="00FC693F" w:rsidRPr="0006063C" w:rsidSect="00034616">
      <w:headerReference w:type="default" r:id="rId9"/>
      <w:footerReference w:type="default" r:id="rId10"/>
      <w:pgSz w:w="11906" w:h="16838"/>
      <w:pgMar w:top="124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 xml:space="preserve">Sahifa </w:t>
    </w:r>
    <w:r>
      <w:rPr>
        <w:sz w:val="16"/>
      </w:rPr>
      <w:fldChar w:fldCharType="begin"/>
      <w:instrText xml:space="preserve">PAGE</w:instrText>
      <w:fldChar w:fldCharType="end"/>
    </w:r>
    <w:r>
      <w:rPr>
        <w:color w:val="595959"/>
        <w:sz w:val="16"/>
      </w:rPr>
      <w:t xml:space="preserve"> / </w:t>
    </w:r>
    <w:r>
      <w:rPr>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EDLY  |  Pulni qaytarish va bekor qilish siyosati  |  v1.0-loyiha  |  YURIDIK KOʻRIB CHIQISH UCHUN LOYIHA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Calibri" w:hAnsi="Calibri" w:eastAsia="Calibri"/>
      <w:b/>
      <w:bCs/>
      <w:color w:val="1F2A44"/>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b/>
      <w:bCs/>
      <w:color w:val="1F2A44"/>
      <w:sz w:val="25"/>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ascii="Calibri" w:hAnsi="Calibri" w:eastAsia="Calibri"/>
      <w:b/>
      <w:bCs/>
      <w:color w:val="1F2A4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