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Korporativ va muassasaviy litsenziya shartnomasi (shablon)</w:t>
      </w:r>
    </w:p>
    <w:p>
      <w:r>
        <w:rPr>
          <w:color w:val="595959"/>
          <w:sz w:val="24"/>
        </w:rPr>
        <w:t>Kompaniyalar, markazlar va maktablar uchun jamoaviy oʻrinlar, taraqqiyot hisoboti bilan</w:t>
      </w:r>
    </w:p>
    <w:p>
      <w:r>
        <w:rPr>
          <w:color w:val="595959"/>
          <w:sz w:val="18"/>
        </w:rPr>
        <w:t>Versiya 1.1  ·  Kuchga kirgan sana: 2026-yil 28-oktabr  ·  Auditoriya: B2B mijozlar (alohida imzolanadigan shartnoma)</w:t>
      </w:r>
    </w:p>
    <w:p>
      <w:pPr>
        <w:spacing w:before="160"/>
      </w:pPr>
      <w:r>
        <w:rPr>
          <w:b/>
          <w:color w:val="595959"/>
          <w:sz w:val="18"/>
        </w:rPr>
        <w:t>Holati: 1.1-versiya, 2026-yil 28-oktabrdan kuchga kirgan. Oʻzbek tilidagi matn tarjimalardan ustun turadi. Bu — muzokara qilinadigan shablon; imzolangan Buyurtma va kelishilgan har qanday Ilova unda aniq oʻzgartirilgan masalalarda undan ustun turadi.</w:t>
      </w:r>
      <w:r>
        <w:rPr>
          <w:color w:val="595959"/>
          <w:sz w:val="18"/>
        </w:rPr>
      </w:r>
    </w:p>
    <w:p>
      <w:r>
        <w:br w:type="page"/>
      </w:r>
    </w:p>
    <w:p>
      <w:pPr>
        <w:ind w:left="227"/>
        <w:shd w:val="clear" w:fill="EEF2F8"/>
      </w:pPr>
      <w:r>
        <w:rPr>
          <w:sz w:val="19"/>
        </w:rPr>
        <w:t>Bu — biznes mijozlar (IT kompaniyalar, banklar, agentliklar, oʻquv markazlari, maktablar) uchun muzokara qilinadigan shablon. Biznes mijozlar «isteʼmolchi» emas, shuning uchun qonuniy isteʼmolchi shartlari qoʻllanmaydi, ammo oʻquvchi-xodimning shaxsiy maxfiylik huquqlari qoʻllanadi. U Mijoz oʻz xodimlari yoki talabalari uchun sotib olgan kirish huquqini tartibga soladi; jismoniy shaxs oʻzi uchun sotib olgan Kursga qoʻllanmaydi — bunday holda Ommaviy oferta qoʻllanadi.</w:t>
      </w:r>
    </w:p>
    <w:p>
      <w:pPr>
        <w:pStyle w:val="Heading1"/>
      </w:pPr>
      <w:r>
        <w:t>Korporativ va muassasaviy litsenziya shartnomasi</w:t>
      </w:r>
    </w:p>
    <w:p>
      <w:r>
        <w:rPr>
          <w:b/>
        </w:rPr>
        <w:t>Sana: imzolangan Buyurtmada koʻrsatilganidek. Shartnoma raqami: imzolangan Buyurtmada koʻrsatilganidek.</w:t>
      </w:r>
      <w:r/>
      <w:r>
        <w:rPr>
          <w:b/>
        </w:rPr>
      </w:r>
      <w:r/>
    </w:p>
    <w:p>
      <w:r>
        <w:rPr>
          <w:b/>
        </w:rPr>
        <w:t>Yetkazib beruvchi: Rahimov Feruz Furqat oʻgʻli, yakka tartibdagi tadbirkor (YaTT) (va har qanday Voris), STIR 30212931010013, manzil Buxoro viloyati, Kogon tumani, Mevazor 4/11, Oʻzbekiston Respublikasi, e-pochta info@edly.uz, telefon +998 77 767 43 28 («Edly»).</w:t>
      </w:r>
      <w:r/>
      <w:r>
        <w:rPr>
          <w:b/>
        </w:rPr>
      </w:r>
      <w:r/>
      <w:r>
        <w:rPr>
          <w:b/>
        </w:rPr>
      </w:r>
      <w:r/>
    </w:p>
    <w:p>
      <w:r>
        <w:rPr>
          <w:b/>
        </w:rPr>
        <w:t>Mijoz: imzolangan Buyurtmada koʻrsatilgan nomi, STIR raqami, manzili va vakolatli vakili bilan («Mijoz»).</w:t>
      </w:r>
      <w:r/>
      <w:r>
        <w:rPr>
          <w:b/>
        </w:rPr>
      </w:r>
      <w:r/>
      <w:r>
        <w:rPr>
          <w:b/>
        </w:rPr>
      </w:r>
      <w:r/>
    </w:p>
    <w:p>
      <w:pPr>
        <w:pStyle w:val="Heading2"/>
      </w:pPr>
      <w:r>
        <w:t>1. Predmet</w:t>
      </w:r>
    </w:p>
    <w:p>
      <w:pPr>
        <w:ind w:left="624" w:hanging="624"/>
        <w:jc w:val="both"/>
      </w:pPr>
      <w:r>
        <w:rPr>
          <w:b/>
        </w:rPr>
        <w:t>1.1</w:t>
        <w:tab/>
      </w:r>
      <w:r>
        <w:t>Edly Mijozning Buyurtmada koʻrsatilgan xodimlari yoki talabalariga («</w:t>
      </w:r>
      <w:r>
        <w:rPr>
          <w:b/>
        </w:rPr>
        <w:t>Foydalanuvchilar</w:t>
      </w:r>
      <w:r>
        <w:t>») Buyurtmadagi Kurslarga Kirish muddati davomida kirish uchun notoʻgʻridan-toʻgʻri (nomonopol), boshqaga berilmaydigan huquq beradi hamda tavsiflangan taraqqiyot hisoboti va qoʻllab-quvvatlashni taqdim etadi.</w:t>
      </w:r>
    </w:p>
    <w:p>
      <w:pPr>
        <w:ind w:left="624" w:hanging="624"/>
        <w:jc w:val="both"/>
      </w:pPr>
      <w:r>
        <w:rPr>
          <w:b/>
        </w:rPr>
        <w:t>1.2</w:t>
        <w:tab/>
        <w:t>Buyurtma: ikkala tomon imzolagan (yoki yozma, jumladan elektron pochta orqali qabul qilingan) hujjat boʻlib, unda Kurslar, oʻrinlar soni, narx (UZS, umumiy va har bir oʻrin uchun), Kirish muddati, boshlanish sanasi va hisobot jadvali koʻrsatiladi. Ushbu Shartnoma tomonlar imzolagan har bir Buyurtmaga qoʻllanadi; har bir Buyurtma alohida majburiyat hisoblanadi.</w:t>
      </w:r>
      <w:r>
        <w:rPr>
          <w:b/>
        </w:rPr>
      </w:r>
      <w:r/>
    </w:p>
    <w:p>
      <w:pPr>
        <w:ind w:left="624" w:hanging="624"/>
        <w:jc w:val="both"/>
      </w:pPr>
      <w:r>
        <w:rPr>
          <w:b/>
        </w:rPr>
        <w:t>1.3</w:t>
        <w:tab/>
        <w:t>Kurslar — Edly roʻyxatdan oʻtgan faoliyat (maʼrifiy faoliyat, IFUT 85.59.0) doirasida koʻrsatiladigan maʼrifiy-axborot va oʻqitish xizmatlari. Kurslarni Mijozning xodimlari yoki talabalariga taqdim etish Edlyni litsenziyalangan taʼlim muassasasiga aylantirmaydi va Mijozga Edlydan foydalangani uchun oʻz dasturini akkreditatsiyalangan, sertifikatlangan yoki davlat tomonidan tan olingan deb atash huquqini bermaydi.</w:t>
      </w:r>
      <w:r>
        <w:rPr>
          <w:b/>
        </w:rPr>
      </w:r>
      <w:r/>
    </w:p>
    <w:p>
      <w:pPr>
        <w:pStyle w:val="Heading2"/>
      </w:pPr>
      <w:r>
        <w:t>2. Oʻrinlar va foydalanuvchilar</w:t>
      </w:r>
    </w:p>
    <w:p>
      <w:pPr>
        <w:ind w:left="624" w:hanging="624"/>
        <w:jc w:val="both"/>
      </w:pPr>
      <w:r>
        <w:rPr>
          <w:b/>
        </w:rPr>
        <w:t>2.1</w:t>
        <w:tab/>
        <w:t>Oʻrin bir vaqtda bitta nomlangan Foydalanuvchi uchun. Oʻrinni 30 kunda bir marta qayta tayinlash mumkin (ketganlar uchun). Hisoblarni baham koʻrish taqiqlanadi. Foydalanuvchilar Foydalanish shartlari va Hamjamiyat qoidalarini qabul qilishi kerak.</w:t>
      </w:r>
      <w:r/>
    </w:p>
    <w:p>
      <w:pPr>
        <w:ind w:left="624" w:hanging="624"/>
        <w:jc w:val="both"/>
      </w:pPr>
      <w:r>
        <w:rPr>
          <w:b/>
        </w:rPr>
        <w:t>2.2</w:t>
        <w:tab/>
      </w:r>
      <w:r>
        <w:t>Mijoz Foydalanuvchilarining qoidalarga rioya qilishi uchun hamda har bir Foydalanuvchi muomala layoqatiga ega voyaga yetgan shaxs yoki Mijoz uchun zarur qonuniy asos va rozilikka ega talaba ekanligiga (maktablar 18 yoshgacha boʻlgan talabalar uchun ota-ona roziligini olishi shart) javobgar.</w:t>
      </w:r>
    </w:p>
    <w:p>
      <w:pPr>
        <w:ind w:left="624" w:hanging="624"/>
        <w:jc w:val="both"/>
      </w:pPr>
      <w:r>
        <w:rPr>
          <w:b/>
        </w:rPr>
        <w:t>2.3</w:t>
        <w:tab/>
        <w:t>Foydalanuvchi 18 yoshga toʻlmagan boʻlsa (masalan, maktab oʻquvchilari), Mijoz Ota-ona va qonuniy vakil shartlari talab qiladigan qonuniy asos va ota-ona roziligiga ega ekanligini hamda tashkilot 4-bandga muvofiq oʻquvchining taraqqiyot hisobotini koʻra olishini ota-onalarga maʼlum qilishini tasdiqlaydi. AI siyosati, Hamjamiyat qoidalari va Bolalar xavfsizligini taʼminlash tartibi har bir Foydalanuvchiga, jumladan voyaga yetmaganlarga ham, xuddi individual Oʻquvchiga qoʻllanganidek toʻliq qoʻllanadi.</w:t>
      </w:r>
      <w:r/>
    </w:p>
    <w:p>
      <w:pPr>
        <w:pStyle w:val="Heading2"/>
      </w:pPr>
      <w:r>
        <w:t>3. Narx, hisob-faktura va soliqlar</w:t>
      </w:r>
    </w:p>
    <w:p>
      <w:pPr>
        <w:ind w:left="624" w:hanging="624"/>
        <w:jc w:val="both"/>
      </w:pPr>
      <w:r>
        <w:rPr>
          <w:b/>
        </w:rPr>
        <w:t>3.1</w:t>
        <w:tab/>
        <w:t>Narx UZS da koʻrsatilgan. Edly hisob-faktura va fiskal hujjatlar beradi. Toʻlov hisob-fakturadan keyin 10 bank kuni ichida bank oʻtkazmasi orqali, Buyurtmada boshqacha boʻlib toʻlash koʻrsatilmagan boʻlsa, 100% oldindan amalga oshiriladi. Buyurtmada boshqacha koʻrsatilmagan boʻlsa, narxga QQS kiritilmagan; Edly QQS toʻlovchisi boʻlgach, QQS qoʻshiladi. Kechikish: muddati oʻtgan summaning kuniga 0,1% miqdorida penya, 10% bilan cheklangan (qonun doirasida). Edly 14 kundan ortiq kechiktirilgan toʻlov uchun kirishni toʻxtatishi mumkin.</w:t>
      </w:r>
      <w:r/>
    </w:p>
    <w:p>
      <w:pPr>
        <w:ind w:left="624" w:hanging="624"/>
        <w:jc w:val="both"/>
      </w:pPr>
      <w:r>
        <w:rPr>
          <w:b/>
        </w:rPr>
        <w:t>3.2</w:t>
        <w:tab/>
        <w:t>Buyurtma boʻyicha toʻlangan narx — Mijozning Edly bilan oʻz tijorat kelishuvi; u hech qanday Mentorga toʻlov hisoblanmaydi va Mijoz Kurs materiallariga ushbu Shartnomadan tashqari hech qanday huquq olmaydi. Edly ushbu narxdan Mentorlarga Muallif litsenziya shartnomasi (M-02) 7.3-bandiga muvofiq Royalti toʻlaydi: Buyurtma paket sifatida qaraladi va uning Kurslari oʻrtasida ularning standart roʻyxat narxlariga mutanosib ravishda taqsimlanadi.</w:t>
      </w:r>
      <w:r/>
    </w:p>
    <w:p>
      <w:pPr>
        <w:pStyle w:val="Heading2"/>
      </w:pPr>
      <w:r>
        <w:t>4. Hisobot va shaxsga doir maʼlumotlar</w:t>
      </w:r>
    </w:p>
    <w:p>
      <w:pPr>
        <w:ind w:left="624" w:hanging="624"/>
        <w:jc w:val="both"/>
      </w:pPr>
      <w:r>
        <w:rPr>
          <w:b/>
        </w:rPr>
        <w:t>4.1</w:t>
        <w:tab/>
      </w:r>
      <w:r>
        <w:t xml:space="preserve">Edly Mijozning vakolatli HR/administratoriga </w:t>
      </w:r>
      <w:r>
        <w:rPr>
          <w:b/>
        </w:rPr>
        <w:t>faqat uning Foydalanuvchilari uchun</w:t>
      </w:r>
      <w:r>
        <w:t xml:space="preserve"> taraqqiyot hisoboti beradi: kirish, tugallangan darslar, test natijalari, tugatish va sertifikatlar. Hisobotda AI suhbat mazmuni, shaxsiy xabarlar yoki nozik maʼlumotlar boʻlmaydi.</w:t>
      </w:r>
    </w:p>
    <w:p>
      <w:pPr>
        <w:ind w:left="624" w:hanging="624"/>
        <w:jc w:val="both"/>
      </w:pPr>
      <w:r>
        <w:rPr>
          <w:b/>
        </w:rPr>
        <w:t>4.2</w:t>
        <w:tab/>
      </w:r>
      <w:r>
        <w:rPr>
          <w:b/>
        </w:rPr>
        <w:t>Rollar.</w:t>
      </w:r>
      <w:r>
        <w:t xml:space="preserve"> Foydalanuvchilarning oʻqish maʼlumotlari uchun Edly — operator. Taraqqiyot hisobotini Mijoz bilan ulashish uchun Edly Foydalanuvchining ishga qabul qilishda olingan xabari va roziligiga (ish beruvchi/maktab taraqqiyot hisobotini koʻrishini bildiruvchi xabar) yoki Mijoz yozma tasdiqlagan boshqa qonuniy asosga tayanadi. Mijoz Edlyga taqdim etgan oʻzining HR maʼlumotlari (ismlar, ish e-pochtalari) uchun operator boʻlib, Edlyga ularni ushbu Shartnoma uchun qayta ishlash boʻyicha yozma koʻrsatma beradi.</w:t>
      </w:r>
    </w:p>
    <w:p>
      <w:pPr>
        <w:ind w:left="624" w:hanging="624"/>
        <w:jc w:val="both"/>
      </w:pPr>
      <w:r>
        <w:rPr>
          <w:b/>
        </w:rPr>
        <w:t>4.3</w:t>
        <w:tab/>
      </w:r>
      <w:r>
        <w:t xml:space="preserve">Har bir tomon «Shaxsga doir maʼlumotlar toʻgʻrisida»gi qonunga rioya qiladi va tegishli xavfsizlikni saqlaydi. Edlyning subprotsessorlari va uzatish kafolatlari Maxfiylik siyosatida roʻyxatlangan. Tomonlar oʻrtasida buzilish haqida xabarnoma: xabardor boʻlgandan keyin </w:t>
      </w:r>
      <w:r>
        <w:rPr>
          <w:b/>
        </w:rPr>
        <w:t>24 soat</w:t>
      </w:r>
      <w:r>
        <w:t xml:space="preserve"> ichida.</w:t>
      </w:r>
    </w:p>
    <w:p>
      <w:pPr>
        <w:ind w:left="624" w:hanging="624"/>
        <w:jc w:val="both"/>
      </w:pPr>
      <w:r>
        <w:rPr>
          <w:b/>
        </w:rPr>
        <w:t>4.4</w:t>
        <w:tab/>
      </w:r>
      <w:r>
        <w:t>Shartnoma tugagandan keyin Foydalanuvchilarning shaxsiy hisoblari (agar ular yaratgan boʻlsa) ularniki boʻlib qoladi, Edly esa Mijozning HR maʼlumotlarini qonun talab qilganidan tashqari oʻchiradi yoki qaytaradi.</w:t>
      </w:r>
    </w:p>
    <w:p>
      <w:pPr>
        <w:pStyle w:val="Heading2"/>
      </w:pPr>
      <w:r>
        <w:t>5. Intellektual mulk va cheklovlar</w:t>
      </w:r>
    </w:p>
    <w:p>
      <w:pPr>
        <w:ind w:left="624" w:hanging="624"/>
        <w:jc w:val="both"/>
      </w:pPr>
      <w:r>
        <w:rPr>
          <w:b/>
        </w:rPr>
        <w:t>5.1</w:t>
        <w:tab/>
        <w:t>Barcha Kurslar va Platforma Edly va uning Mentorlarining mulki boʻlib qoladi. Mijoz Kurslarni nusxalay, yozib ola, qayta sota, white-label qila (white-label litsenziyasi kelishilmagan boʻlsa), AI-ni oʻqitish uchun ishlata yoki Foydalanuvchi boʻlmaganlarga kirish bera olmaydi. Mijoz Kurs materiallariga ushbu Shartnomadan tashqari mulkchilik yoki litsenziya olmaydi; Mentorlar oʻz huquqlarini Muallif litsenziya shartnomasiga koʻra saqlab qoladi.</w:t>
      </w:r>
      <w:r/>
    </w:p>
    <w:p>
      <w:pPr>
        <w:ind w:left="624" w:hanging="624"/>
        <w:jc w:val="both"/>
      </w:pPr>
      <w:r>
        <w:rPr>
          <w:b/>
        </w:rPr>
        <w:t>5.2</w:t>
        <w:tab/>
      </w:r>
      <w:r>
        <w:t>White-label yoki birgalikdagi brendli guruhlar (kelishilgan boʻlsa) brenddan foydalanish, daromadni boʻlishish, qoʻllab-quvvatlash va oxirgi foydalanuvchilarga kim «sotuvchi» ekanligini belgilovchi alohida ilovada keltiriladi.</w:t>
      </w:r>
    </w:p>
    <w:p>
      <w:pPr>
        <w:ind w:left="624" w:hanging="624"/>
        <w:jc w:val="both"/>
      </w:pPr>
      <w:r>
        <w:rPr>
          <w:b/>
        </w:rPr>
        <w:t>5.3</w:t>
        <w:tab/>
        <w:t>Mijoz oʻz Foydalanuvchilari Foydalanish shartlarini qabul qilishini va Foydalanish shartlarining 5.4-bandida koʻrsatilganidek, Kurs kontentini sir saqlashini taʼminlaydi. Mijoz Kurs kontentini oʻzining intranetiga, oʻquv boshqaruv tizimiga, fayl omboriga, chat yoki elektron pochta guruhlariga, oʻquv materiallariga yoki ichki AI vositalariga, shuningdek Platformadan tashqaridagi har qanday boshqa ichki yoki tashqi platformaga yuklamaydi, nusxalamaydi va ulashmaydi. Foydalanuvchilar nimani oʻrganganini oʻz soʻzlari bilan tasvirlashi mumkin.</w:t>
      </w:r>
      <w:r/>
    </w:p>
    <w:p>
      <w:pPr>
        <w:pStyle w:val="Heading2"/>
      </w:pPr>
      <w:r>
        <w:t>6. Xizmat darajalari</w:t>
      </w:r>
    </w:p>
    <w:p>
      <w:pPr>
        <w:ind w:left="624" w:hanging="624"/>
        <w:jc w:val="both"/>
      </w:pPr>
      <w:r>
        <w:rPr>
          <w:b/>
        </w:rPr>
        <w:t>6.1</w:t>
        <w:tab/>
        <w:t>Edly Platformaning oylik 99% mavjudligini (texnik xizmat va Edly nazorati ostida boʻlmagan hodisalar bundan mustasno) va 2 ish kunida qoʻllab-quvvatlashni maqsad qiladi. Maqsadlarga erishilmaganda yagona vosita: taʼsirlangan vaqt uchun Kirish muddatini uzaytirish yoki proporsional kredit.</w:t>
      </w:r>
      <w:r/>
    </w:p>
    <w:p>
      <w:pPr>
        <w:pStyle w:val="Heading2"/>
      </w:pPr>
      <w:r>
        <w:t>7. Kafolat yoʻq</w:t>
      </w:r>
    </w:p>
    <w:p>
      <w:pPr>
        <w:ind w:left="624" w:hanging="624"/>
        <w:jc w:val="both"/>
      </w:pPr>
      <w:r>
        <w:rPr>
          <w:b/>
        </w:rPr>
        <w:t>7.1</w:t>
        <w:tab/>
      </w:r>
      <w:r>
        <w:t>Edly Foydalanuvchilar uchun natijalarni (ish, ball, lavozim oshishi, daromad) kafolatlamaydi. Mijoz xodimlariga oid qarorlar uchun javobgar.</w:t>
      </w:r>
    </w:p>
    <w:p>
      <w:pPr>
        <w:pStyle w:val="Heading2"/>
      </w:pPr>
      <w:r>
        <w:t>8. Javobgarlik</w:t>
      </w:r>
    </w:p>
    <w:p>
      <w:pPr>
        <w:ind w:left="624" w:hanging="624"/>
        <w:jc w:val="both"/>
      </w:pPr>
      <w:r>
        <w:rPr>
          <w:b/>
        </w:rPr>
        <w:t>8.1</w:t>
        <w:tab/>
      </w:r>
      <w:r>
        <w:t>Har bir tomon isbotlangan toʻgʻridan-toʻgʻri zarar uchun javobgar. Edlyning ushbu Shartnoma boʻyicha umumiy javobgarligi Buyurtma uchun oldingi 12 oyda toʻlangan toʻlovlar bilan cheklanadi, qasddan qilingan harakat yoki qonun bilan cheklab boʻlmaydigan holatlar bundan mustasno. Bilvosita yoki oqibatli zarar, yoʻqotilgan foyda yoki imkoniyat uchun javobgarlik yoʻq.</w:t>
      </w:r>
    </w:p>
    <w:p>
      <w:pPr>
        <w:pStyle w:val="Heading2"/>
      </w:pPr>
      <w:r>
        <w:t>9. Muddat va bekor qilish</w:t>
      </w:r>
    </w:p>
    <w:p>
      <w:pPr>
        <w:ind w:left="624" w:hanging="624"/>
        <w:jc w:val="both"/>
      </w:pPr>
      <w:r>
        <w:rPr>
          <w:b/>
        </w:rPr>
        <w:t>9.1</w:t>
        <w:tab/>
        <w:t>Shartnoma Kirish muddati davomida amal qiladi. Har bir tomon boshqasining 15 kun ichida bartaraf etilmagan jiddiy buzilishi uchun xabarnomadan keyin bekor qilishi mumkin. Mijoz tomonidan muddatidan oldin bekor qilish, Edly jiddiy buzgan hollar bundan mustasno, pul qaytarishga olib kelmaydi; bunday holda Edly toʻlovlarning foydalanilmagan qismini qaytaradi.</w:t>
      </w:r>
      <w:r/>
    </w:p>
    <w:p>
      <w:pPr>
        <w:ind w:left="624" w:hanging="624"/>
        <w:jc w:val="both"/>
      </w:pPr>
      <w:r>
        <w:rPr>
          <w:b/>
        </w:rPr>
        <w:t>9.2</w:t>
        <w:tab/>
        <w:t>Ushbu Shartnomani har qanday sababga koʻra bekor qilish Foydalanuvchining allaqachon tugatgan taraqqiyoti, test natijalari yoki olingan Sertifikatlarini bekor qilmaydi hamda Foydalanuvchidan allaqachon foydalanilgan Kirish uchun orqaga qarab toʻlov talab qilinmaydi. Bu faqat shu paytdan boshlab yangi Kirish huquqini tugatadi.</w:t>
      </w:r>
      <w:r/>
    </w:p>
    <w:p>
      <w:pPr>
        <w:pStyle w:val="Heading2"/>
      </w:pPr>
      <w:r>
        <w:t>10. Maxfiylik</w:t>
      </w:r>
    </w:p>
    <w:p>
      <w:pPr>
        <w:ind w:left="624" w:hanging="624"/>
        <w:jc w:val="both"/>
      </w:pPr>
      <w:r>
        <w:rPr>
          <w:b/>
        </w:rPr>
        <w:t>10.1</w:t>
        <w:tab/>
        <w:t>Har bir tomon boshqasining ommaviy boʻlmagan maʼlumotlarini Shartnoma tugagandan keyin 3 yil maxfiy saqlaydi.</w:t>
      </w:r>
      <w:r/>
    </w:p>
    <w:p>
      <w:pPr>
        <w:pStyle w:val="Heading2"/>
      </w:pPr>
      <w:r>
        <w:t>11. Korrupsiyaga qarshi kurash va muvofiqlik</w:t>
      </w:r>
    </w:p>
    <w:p>
      <w:pPr>
        <w:ind w:left="624" w:hanging="624"/>
        <w:jc w:val="both"/>
      </w:pPr>
      <w:r>
        <w:rPr>
          <w:b/>
        </w:rPr>
        <w:t>11.1</w:t>
        <w:tab/>
      </w:r>
      <w:r>
        <w:t>Hech bir tomon nomaqbul imtiyozlar taklif qilmaydi yoki qabul qilmaydi. Har biri oʻziga qoʻllanadigan sanksiyalar va pul yuvishga qarshi qoidalarga rioya qiladi.</w:t>
      </w:r>
    </w:p>
    <w:p>
      <w:pPr>
        <w:pStyle w:val="Heading2"/>
      </w:pPr>
      <w:r>
        <w:t>12. Oʻtkazish</w:t>
      </w:r>
    </w:p>
    <w:p>
      <w:pPr>
        <w:ind w:left="624" w:hanging="624"/>
        <w:jc w:val="both"/>
      </w:pPr>
      <w:r>
        <w:rPr>
          <w:b/>
        </w:rPr>
        <w:t>12.1</w:t>
        <w:tab/>
      </w:r>
      <w:r>
        <w:t>Edly Shartnomani xabarnoma bilan Vorisga oʻtkazishi mumkin; Mijoz oldindan rozilik beradi. Mijoz faqat Edlyning yozma roziligi bilan oʻtkaza oladi.</w:t>
      </w:r>
    </w:p>
    <w:p>
      <w:pPr>
        <w:pStyle w:val="Heading2"/>
      </w:pPr>
      <w:r>
        <w:t>13. Qoʻllanadigan huquq va nizolar</w:t>
      </w:r>
    </w:p>
    <w:p>
      <w:pPr>
        <w:ind w:left="624" w:hanging="624"/>
        <w:jc w:val="both"/>
      </w:pPr>
      <w:r>
        <w:rPr>
          <w:b/>
        </w:rPr>
        <w:t>13.1</w:t>
        <w:tab/>
        <w:t>Oʻzbekiston qonunchiligi qoʻllanadi. Tomonlar 30 kun muzokara qiladi; hal boʻlmasa, nizo Edly joylashgan joydagi vakolatli xoʻjalik sudida koʻriladi.</w:t>
      </w:r>
      <w:r/>
    </w:p>
    <w:p>
      <w:pPr>
        <w:pStyle w:val="Heading2"/>
      </w:pPr>
      <w:r>
        <w:t>14. Umumiy qoidalar</w:t>
      </w:r>
    </w:p>
    <w:p>
      <w:pPr>
        <w:ind w:left="624" w:hanging="624"/>
        <w:jc w:val="both"/>
      </w:pPr>
      <w:r>
        <w:rPr>
          <w:b/>
        </w:rPr>
        <w:t>14.1</w:t>
        <w:tab/>
        <w:t>Buyurtma bilan butun kelishuv. Oʻzgartirishlar yozma shaklda. Xabarnomalar yuqoridagi manzillarga. Fors-major Ommaviy ofertaning 15-bandidagidek. Shartnoma oʻzbek tilida, Mijoz soʻrasa rus yoki ingliz tilida ham imzolanadi; oʻzbekcha matn ustun turadi. Qogʻozda yoki tan olingan elektron imzo (jumladan Didox orqali) bilan imzolash teng kuchga ega.</w:t>
      </w:r>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Edly</w:t>
            </w:r>
          </w:p>
        </w:tc>
        <w:tc>
          <w:tcPr>
            <w:tcW w:type="dxa" w:w="4819"/>
            <w:shd w:val="clear" w:color="auto" w:fill="1F2A44"/>
          </w:tcPr>
          <w:p>
            <w:pPr>
              <w:spacing w:after="20"/>
            </w:pPr>
            <w:r>
              <w:rPr>
                <w:b/>
                <w:color w:val="FFFFFF"/>
              </w:rPr>
            </w:r>
            <w:r>
              <w:rPr>
                <w:b/>
                <w:color w:val="FFFFFF"/>
                <w:sz w:val="19"/>
              </w:rPr>
              <w:t>Mijoz</w:t>
            </w:r>
          </w:p>
        </w:tc>
      </w:tr>
      <w:tr>
        <w:tc>
          <w:tcPr>
            <w:tcW w:type="dxa" w:w="4819"/>
          </w:tcPr>
          <w:p>
            <w:pPr>
              <w:spacing w:after="20"/>
            </w:pPr>
            <w:r/>
            <w:r>
              <w:rPr>
                <w:sz w:val="19"/>
              </w:rPr>
              <w:t>Ism, lavozim, imzo, sana</w:t>
            </w:r>
          </w:p>
        </w:tc>
        <w:tc>
          <w:tcPr>
            <w:tcW w:type="dxa" w:w="4819"/>
          </w:tcPr>
          <w:p>
            <w:pPr>
              <w:spacing w:after="20"/>
            </w:pPr>
            <w:r/>
            <w:r>
              <w:rPr>
                <w:sz w:val="19"/>
              </w:rPr>
              <w:t>Ism, lavozim, imzo, sana</w:t>
            </w:r>
          </w:p>
        </w:tc>
      </w:tr>
    </w:tbl>
    <w:p>
      <w:pPr>
        <w:spacing w:after="40"/>
      </w:pP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Sahifa </w:t>
    </w:r>
    <w:r>
      <w:rPr>
        <w:sz w:val="16"/>
      </w:rPr>
      <w:fldChar w:fldCharType="begin"/>
      <w:instrText xml:space="preserve">PAGE</w:instrText>
      <w:fldChar w:fldCharType="end"/>
    </w:r>
    <w:r>
      <w:rPr>
        <w:color w:val="595959"/>
        <w:sz w:val="16"/>
      </w:rPr>
      <w:t xml:space="preserve"> /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Korporativ va muassasaviy litsenziya shartnomasi (shablon)  |  v1.0-loyiha  |  YURIDIK KOʻRIB CHIQISH UCHUN LOYIHA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