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0"/>
      </w:pPr>
      <w:r>
        <w:rPr>
          <w:color w:val="595959"/>
          <w:sz w:val="22"/>
        </w:rPr>
        <w:t>EDLY</w:t>
      </w:r>
    </w:p>
    <w:p>
      <w:r>
        <w:rPr>
          <w:b/>
          <w:color w:val="1F2A44"/>
          <w:sz w:val="48"/>
        </w:rPr>
        <w:t>Mualliflik huquqi, kontentga shikoyat va olib tashlash siyosati</w:t>
      </w:r>
    </w:p>
    <w:p>
      <w:r>
        <w:rPr>
          <w:color w:val="595959"/>
          <w:sz w:val="24"/>
        </w:rPr>
        <w:t>Huquq egalari, oʻquvchilar va organlar huquqbuzar yoki noqonuniy kontent haqida qanday xabar beradi va Edly qanday javob beradi</w:t>
      </w:r>
    </w:p>
    <w:p>
      <w:r>
        <w:rPr>
          <w:color w:val="595959"/>
          <w:sz w:val="18"/>
        </w:rPr>
        <w:t>Versiya 1.1  ·  Kuchga kirgan sana: 2026-yil 28-oktabr ·  Auditoriya: Ommaviy</w:t>
      </w:r>
    </w:p>
    <w:p>
      <w:pPr>
        <w:spacing w:before="160"/>
      </w:pPr>
      <w:r>
        <w:rPr>
          <w:b/>
          <w:color w:val="595959"/>
          <w:sz w:val="18"/>
        </w:rPr>
        <w:t>Holati: 1.1-versiya, 2026-yil 28-oktabrdan kuchga kirgan. Oʻzbek tilidagi matn tarjimalardan ustun turadi.</w:t>
      </w:r>
      <w:r>
        <w:rPr>
          <w:color w:val="595959"/>
          <w:sz w:val="18"/>
        </w:rPr>
      </w:r>
    </w:p>
    <w:p>
      <w:r>
        <w:br w:type="page"/>
      </w:r>
    </w:p>
    <w:p>
      <w:pPr>
        <w:pStyle w:val="Heading1"/>
      </w:pPr>
      <w:r>
        <w:t>Mualliflik huquqi, kontentga shikoyat va olib tashlash siyosati</w:t>
      </w:r>
    </w:p>
    <w:p>
      <w:r>
        <w:t>Edly intellektual mulk va shaxsiy huquqlarni hurmat qiladi hamda asosli shikoyatlar boʻyicha tezda harakat qiladi. Ushbu siyosat Foydalanish shartlari va Mentorning Muallifning litsenziya shartnomasini toʻldiradi.</w:t>
      </w:r>
    </w:p>
    <w:p>
      <w:pPr>
        <w:pStyle w:val="Heading2"/>
      </w:pPr>
      <w:r>
        <w:t>1. Nima haqida xabar berish mumkin</w:t>
      </w:r>
    </w:p>
    <w:p>
      <w:r>
        <w:t>Mualliflik huquqi buzilishi; tovar belgisi yoki nomdan foydalanish; pullik Kurs kontentining sizib chiqishi yoki piratligi; tuhmat yoki haqorat; shaxsiy hayot daxlsizligining buzilishi yoki shaxs qiyofasi yoki ovozidan roziliksiz foydalanish (dipfeyklar bilan birga); bola xavfsizligiga oid xavotirlar; Oʻzbekiston qonunchiligini buzuvchi kontent.</w:t>
      </w:r>
    </w:p>
    <w:p>
      <w:pPr>
        <w:pStyle w:val="Heading2"/>
      </w:pPr>
      <w:r>
        <w:t>2. Qanday xabar beriladi</w:t>
      </w:r>
    </w:p>
    <w:p>
      <w:r>
        <w:rPr>
          <w:b/>
        </w:rPr>
        <w:t>info@edly.uz</w:t>
      </w:r>
      <w:r>
        <w:t xml:space="preserve"> manziliga yoki ilova ichidagi shakl orqali quyidagilarni oʻz ichiga olgan xabarnoma yuboring: (1) ismingiz, sifatingiz (egasi, vakili, zarar koʻrgan shaxs) va aloqa maʼlumotlari; (2) kontentning aniq joyi (URL, Kurs, dars, vaqt belgisi); (3) tegishli asar yoki huquq va egalik yoki vakolat isboti; (4) foydalanish nega noqonuniy ekanligi; (5) maʼlumot toʻgʻri va vijdonan berilganligi haqida bayonot; (6) imzo (elektron imzo ham mumkin). Bola xavfsizligiga oid xabarlar uchun qisqa tavsif yetarli va inson 24 soat ichida koʻrib chiqadi.</w:t>
      </w:r>
    </w:p>
    <w:p>
      <w:pPr>
        <w:pStyle w:val="Heading2"/>
      </w:pPr>
      <w:r>
        <w:t>3. Biz nima qilamiz</w:t>
      </w:r>
    </w:p>
    <w:tbl>
      <w:tblPr>
        <w:tblStyle w:val="TableGrid"/>
        <w:tblW w:type="auto" w:w="0"/>
        <w:tblLook w:firstColumn="1" w:firstRow="1" w:lastColumn="0" w:lastRow="0" w:noHBand="0" w:noVBand="1" w:val="04A0"/>
      </w:tblPr>
      <w:tblGrid>
        <w:gridCol w:w="4819"/>
        <w:gridCol w:w="4819"/>
      </w:tblGrid>
      <w:tr>
        <w:tc>
          <w:tcPr>
            <w:tcW w:type="dxa" w:w="4819"/>
            <w:shd w:val="clear" w:color="auto" w:fill="1F2A44"/>
          </w:tcPr>
          <w:p>
            <w:pPr>
              <w:spacing w:after="20"/>
            </w:pPr>
            <w:r>
              <w:rPr>
                <w:b/>
                <w:color w:val="FFFFFF"/>
              </w:rPr>
            </w:r>
            <w:r>
              <w:rPr>
                <w:b/>
                <w:color w:val="FFFFFF"/>
                <w:sz w:val="19"/>
              </w:rPr>
              <w:t>Bosqich</w:t>
            </w:r>
          </w:p>
        </w:tc>
        <w:tc>
          <w:tcPr>
            <w:tcW w:type="dxa" w:w="4819"/>
            <w:shd w:val="clear" w:color="auto" w:fill="1F2A44"/>
          </w:tcPr>
          <w:p>
            <w:pPr>
              <w:spacing w:after="20"/>
            </w:pPr>
            <w:r>
              <w:rPr>
                <w:b/>
                <w:color w:val="FFFFFF"/>
              </w:rPr>
            </w:r>
            <w:r>
              <w:rPr>
                <w:b/>
                <w:color w:val="FFFFFF"/>
                <w:sz w:val="19"/>
              </w:rPr>
              <w:t>Muddat</w:t>
            </w:r>
          </w:p>
        </w:tc>
      </w:tr>
      <w:tr>
        <w:tc>
          <w:tcPr>
            <w:tcW w:type="dxa" w:w="4819"/>
          </w:tcPr>
          <w:p>
            <w:pPr>
              <w:spacing w:after="20"/>
            </w:pPr>
            <w:r/>
            <w:r>
              <w:rPr>
                <w:sz w:val="19"/>
              </w:rPr>
              <w:t>Xabarni qabul qilinganini tasdiqlash</w:t>
            </w:r>
          </w:p>
        </w:tc>
        <w:tc>
          <w:tcPr>
            <w:tcW w:type="dxa" w:w="4819"/>
          </w:tcPr>
          <w:p>
            <w:pPr>
              <w:spacing w:after="20"/>
            </w:pPr>
            <w:r/>
            <w:r>
              <w:rPr>
                <w:sz w:val="19"/>
              </w:rPr>
              <w:t>2 ish kuni ichida (bola xavfsizligi: 24 soat)</w:t>
            </w:r>
          </w:p>
        </w:tc>
      </w:tr>
      <w:tr>
        <w:tc>
          <w:tcPr>
            <w:tcW w:type="dxa" w:w="4819"/>
          </w:tcPr>
          <w:p>
            <w:pPr>
              <w:spacing w:after="20"/>
            </w:pPr>
            <w:r/>
            <w:r>
              <w:rPr>
                <w:sz w:val="19"/>
              </w:rPr>
              <w:t>Dastlabki baholash (toʻliqlik, ishonarlilik)</w:t>
            </w:r>
          </w:p>
        </w:tc>
        <w:tc>
          <w:tcPr>
            <w:tcW w:type="dxa" w:w="4819"/>
          </w:tcPr>
          <w:p>
            <w:pPr>
              <w:spacing w:after="20"/>
            </w:pPr>
            <w:r/>
            <w:r>
              <w:rPr>
                <w:sz w:val="19"/>
              </w:rPr>
              <w:t>3 ish kuni ichida</w:t>
            </w:r>
          </w:p>
        </w:tc>
      </w:tr>
      <w:tr>
        <w:tc>
          <w:tcPr>
            <w:tcW w:type="dxa" w:w="4819"/>
          </w:tcPr>
          <w:p>
            <w:pPr>
              <w:spacing w:after="20"/>
            </w:pPr>
            <w:r/>
            <w:r>
              <w:rPr>
                <w:sz w:val="19"/>
              </w:rPr>
              <w:t>Ravshan huquqbuzar yoki xavfli kontentni vaqtincha cheklash</w:t>
            </w:r>
          </w:p>
        </w:tc>
        <w:tc>
          <w:tcPr>
            <w:tcW w:type="dxa" w:w="4819"/>
          </w:tcPr>
          <w:p>
            <w:pPr>
              <w:spacing w:after="20"/>
            </w:pPr>
            <w:r/>
            <w:r>
              <w:rPr>
                <w:sz w:val="19"/>
              </w:rPr>
              <w:t>daʼvo ishonarli va zarar jiddiy boʻlsa, darhol</w:t>
            </w:r>
          </w:p>
        </w:tc>
      </w:tr>
      <w:tr>
        <w:tc>
          <w:tcPr>
            <w:tcW w:type="dxa" w:w="4819"/>
          </w:tcPr>
          <w:p>
            <w:pPr>
              <w:spacing w:after="20"/>
            </w:pPr>
            <w:r/>
            <w:r>
              <w:rPr>
                <w:sz w:val="19"/>
              </w:rPr>
              <w:t>Xabar qilingan kontent egasi boʻlgan Mentor yoki foydalanuvchini xabarnoma maʼlumotlari bilan xabardor qilish (xabar beruvchining shaxsga doir maʼlumotlari faqat zarur boʻlsa ulashiladi)</w:t>
            </w:r>
          </w:p>
        </w:tc>
        <w:tc>
          <w:tcPr>
            <w:tcW w:type="dxa" w:w="4819"/>
          </w:tcPr>
          <w:p>
            <w:pPr>
              <w:spacing w:after="20"/>
            </w:pPr>
            <w:r/>
            <w:r>
              <w:rPr>
                <w:sz w:val="19"/>
              </w:rPr>
              <w:t>darhol</w:t>
            </w:r>
          </w:p>
        </w:tc>
      </w:tr>
      <w:tr>
        <w:tc>
          <w:tcPr>
            <w:tcW w:type="dxa" w:w="4819"/>
          </w:tcPr>
          <w:p>
            <w:pPr>
              <w:spacing w:after="20"/>
            </w:pPr>
            <w:r/>
            <w:r>
              <w:rPr>
                <w:sz w:val="19"/>
              </w:rPr>
              <w:t>Qarshi xabarnoma oynasi</w:t>
            </w:r>
          </w:p>
        </w:tc>
        <w:tc>
          <w:tcPr>
            <w:tcW w:type="dxa" w:w="4819"/>
          </w:tcPr>
          <w:p>
            <w:pPr>
              <w:spacing w:after="20"/>
            </w:pPr>
            <w:r/>
            <w:r>
              <w:rPr>
                <w:sz w:val="19"/>
              </w:rPr>
              <w:t>10 ish kuni</w:t>
            </w:r>
          </w:p>
        </w:tc>
      </w:tr>
      <w:tr>
        <w:tc>
          <w:tcPr>
            <w:tcW w:type="dxa" w:w="4819"/>
          </w:tcPr>
          <w:p>
            <w:pPr>
              <w:spacing w:after="20"/>
            </w:pPr>
            <w:r/>
            <w:r>
              <w:rPr>
                <w:sz w:val="19"/>
              </w:rPr>
              <w:t>Qaror: olib tashlash, tiklash yoki saqlash</w:t>
            </w:r>
          </w:p>
        </w:tc>
        <w:tc>
          <w:tcPr>
            <w:tcW w:type="dxa" w:w="4819"/>
          </w:tcPr>
          <w:p>
            <w:pPr>
              <w:spacing w:after="20"/>
            </w:pPr>
            <w:r/>
            <w:r>
              <w:rPr>
                <w:sz w:val="19"/>
              </w:rPr>
              <w:t>qarshi xabarnomadan keyin 10 ish kuni ichida yoki tezroq</w:t>
            </w:r>
          </w:p>
        </w:tc>
      </w:tr>
      <w:tr>
        <w:tc>
          <w:tcPr>
            <w:tcW w:type="dxa" w:w="4819"/>
          </w:tcPr>
          <w:p>
            <w:pPr>
              <w:spacing w:after="20"/>
            </w:pPr>
            <w:r/>
            <w:r>
              <w:rPr>
                <w:sz w:val="19"/>
              </w:rPr>
              <w:t>Organ yoki sud qarori</w:t>
            </w:r>
          </w:p>
        </w:tc>
        <w:tc>
          <w:tcPr>
            <w:tcW w:type="dxa" w:w="4819"/>
          </w:tcPr>
          <w:p>
            <w:pPr>
              <w:spacing w:after="20"/>
            </w:pPr>
            <w:r/>
            <w:r>
              <w:rPr>
                <w:sz w:val="19"/>
              </w:rPr>
              <w:t>tekshirilgandan soʻng, qaror boʻyicha bajariladi</w:t>
            </w:r>
          </w:p>
        </w:tc>
      </w:tr>
    </w:tbl>
    <w:p>
      <w:pPr>
        <w:spacing w:after="40"/>
      </w:pPr>
    </w:p>
    <w:p>
      <w:pPr>
        <w:pStyle w:val="Heading2"/>
      </w:pPr>
      <w:r>
        <w:t>4. Qarshi xabarnoma</w:t>
      </w:r>
    </w:p>
    <w:p>
      <w:r>
        <w:t>Mentor yoki foydalanuvchi sabablar va dalillar (litsenziya, mualliflik, rozilik, adolatli foydalanish) bilan javob berishi mumkin. Xabar beruvchi qarshi xabarnomadan keyin 14 kun ichida sud yoki organ ishini boshlamasa, baholashimiz daʼvoni asossiz deb topsa, kontentni tiklashimiz mumkin. Egalik masalasini biz hal qilmaymiz; xavfni boshqaramiz va mavjud holatni adolatli saqlaymiz.</w:t>
      </w:r>
    </w:p>
    <w:p>
      <w:pPr>
        <w:pStyle w:val="Heading2"/>
      </w:pPr>
      <w:r>
        <w:t>5. Takroriy huquqbuzarlar</w:t>
      </w:r>
    </w:p>
    <w:p>
      <w:r>
        <w:t>Takroriy huquqbuzarlar hisobi (12 oy ichida uch marta tasdiqlangan xabarnoma) toʻxtatiladi yoki bekor qilinadi, Mentor litsenziyasi esa tugatilishi mumkin.</w:t>
      </w:r>
    </w:p>
    <w:p>
      <w:pPr>
        <w:pStyle w:val="Heading2"/>
      </w:pPr>
      <w:r>
        <w:t>6. Yolgʻon yoki suiisteʼmol xabarnomalar</w:t>
      </w:r>
    </w:p>
    <w:p>
      <w:r>
        <w:t>Bila turib yolgʻon yoki suiisteʼmol xabarnomalar rad etilishi mumkin va biz taʼsirlangan tomon yoki Edlyga yetkazilgan zararni qoplashni talab qilishimiz mumkin.</w:t>
      </w:r>
    </w:p>
    <w:p>
      <w:pPr>
        <w:pStyle w:val="Heading2"/>
      </w:pPr>
      <w:r>
        <w:t>7. Edly Kurslarining piratligi</w:t>
      </w:r>
    </w:p>
    <w:p>
      <w:r>
        <w:t>Edly va Mentorlar piratlik nusxalarni joylashtirgan uchinchi tomon saytlari, Telegram kanallari va ijtimoiy tarmoqlarga olib tashlash talablarini yuborishi hamda qonun doirasida texnik jurnallar yordamida kontentni sizdirgan hisoblarni aniqlashi mumkin. Kontentni sizdirgan yoki oshkor qilgan (jumladan, izohlarda, chatlarda, messenjer guruhlarida yoki boshqa platformalarda) Oʻquvchi Ommaviy oferta 6.5-bandiga muvofiq pul qaytarilmasdan Kirish huquqidan mahrum etilishi va zarar uchun javobgar boʻlishi mumkin.</w:t>
      </w:r>
    </w:p>
    <w:p>
      <w:pPr>
        <w:pStyle w:val="Heading2"/>
      </w:pPr>
      <w:r>
        <w:t>8. Yozuvlar</w:t>
      </w:r>
    </w:p>
    <w:p>
      <w:r>
        <w:t>Xabarnomalar, qarorlar va yozishmalar jurnalini 5 yil saqlaymiz va organlarga talab qilinganida hisobot beramiz.</w:t>
      </w:r>
    </w:p>
    <w:sectPr w:rsidR="00FC693F" w:rsidRPr="0006063C" w:rsidSect="00034616">
      <w:headerReference w:type="default" r:id="rId9"/>
      <w:footerReference w:type="default" r:id="rId10"/>
      <w:pgSz w:w="11906" w:h="16838"/>
      <w:pgMar w:top="1247"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6"/>
      </w:rPr>
      <w:t xml:space="preserve">Sahifa </w:t>
    </w:r>
    <w:r>
      <w:rPr>
        <w:sz w:val="16"/>
      </w:rPr>
      <w:fldChar w:fldCharType="begin"/>
      <w:instrText xml:space="preserve">PAGE</w:instrText>
      <w:fldChar w:fldCharType="end"/>
    </w:r>
    <w:r>
      <w:rPr>
        <w:color w:val="595959"/>
        <w:sz w:val="16"/>
      </w:rPr>
      <w:t xml:space="preserve"> / </w:t>
    </w:r>
    <w:r>
      <w:rPr>
        <w:sz w:val="16"/>
      </w:rP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95959"/>
        <w:sz w:val="16"/>
      </w:rPr>
      <w:t>EDLY  |  Mualliflik huquqi, kontentga shikoyat va olib tashlash siyosati  |  v1.0-loyiha  |  YURIDIK KOʻRIB CHIQISH UCHUN LOYIHA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Theme="majorHAnsi" w:eastAsiaTheme="majorEastAsia" w:hAnsiTheme="majorHAnsi" w:cstheme="majorBidi" w:ascii="Calibri" w:hAnsi="Calibri" w:eastAsia="Calibri"/>
      <w:b/>
      <w:bCs/>
      <w:color w:val="1F2A44"/>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eastAsia="Calibri"/>
      <w:b/>
      <w:bCs/>
      <w:color w:val="1F2A44"/>
      <w:sz w:val="25"/>
      <w:szCs w:val="26"/>
    </w:rPr>
  </w:style>
  <w:style w:type="paragraph" w:styleId="Heading3">
    <w:name w:val="heading 3"/>
    <w:basedOn w:val="Normal"/>
    <w:next w:val="Normal"/>
    <w:link w:val="Heading3Char"/>
    <w:uiPriority w:val="9"/>
    <w:unhideWhenUsed/>
    <w:qFormat/>
    <w:rsid w:val="00FC693F"/>
    <w:pPr>
      <w:keepNext/>
      <w:keepLines/>
      <w:spacing w:before="240" w:after="80"/>
      <w:outlineLvl w:val="2"/>
    </w:pPr>
    <w:rPr>
      <w:rFonts w:asciiTheme="majorHAnsi" w:eastAsiaTheme="majorEastAsia" w:hAnsiTheme="majorHAnsi" w:cstheme="majorBidi" w:ascii="Calibri" w:hAnsi="Calibri" w:eastAsia="Calibri"/>
      <w:b/>
      <w:bCs/>
      <w:color w:val="1F2A44"/>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